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2c1fd5453884c8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E5" w:rsidRPr="00C6263A" w:rsidRDefault="00836AE5" w:rsidP="00836AE5">
      <w:pPr>
        <w:rPr>
          <w:b/>
          <w:szCs w:val="22"/>
        </w:rPr>
      </w:pPr>
      <w:r>
        <w:rPr>
          <w:b/>
          <w:szCs w:val="22"/>
        </w:rPr>
        <w:t xml:space="preserve">Lake </w:t>
      </w:r>
      <w:proofErr w:type="spellStart"/>
      <w:r w:rsidRPr="00C6263A">
        <w:rPr>
          <w:b/>
          <w:szCs w:val="22"/>
        </w:rPr>
        <w:t>Okareka</w:t>
      </w:r>
      <w:proofErr w:type="spellEnd"/>
    </w:p>
    <w:p w:rsidR="00836AE5" w:rsidRDefault="00836AE5" w:rsidP="00836AE5">
      <w:pPr>
        <w:rPr>
          <w:szCs w:val="22"/>
        </w:rPr>
      </w:pPr>
    </w:p>
    <w:p w:rsidR="00836AE5" w:rsidRDefault="00836AE5" w:rsidP="00836AE5">
      <w:pPr>
        <w:rPr>
          <w:szCs w:val="22"/>
        </w:rPr>
      </w:pPr>
      <w:r>
        <w:rPr>
          <w:szCs w:val="22"/>
        </w:rPr>
        <w:t xml:space="preserve">Lake </w:t>
      </w:r>
      <w:proofErr w:type="spellStart"/>
      <w:r>
        <w:rPr>
          <w:szCs w:val="22"/>
        </w:rPr>
        <w:t>Ōkāreka’s</w:t>
      </w:r>
      <w:proofErr w:type="spellEnd"/>
      <w:r>
        <w:rPr>
          <w:szCs w:val="22"/>
        </w:rPr>
        <w:t xml:space="preserve"> annual average TLI increased from 3.2 last year to 3.5 for 2017/2018. The three year annual average was 3.4 TLI units. The increase in the last two years has been primarily due to increases in chlorophyll-</w:t>
      </w:r>
      <w:r w:rsidRPr="00CA3790">
        <w:rPr>
          <w:i/>
          <w:szCs w:val="22"/>
        </w:rPr>
        <w:t>a</w:t>
      </w:r>
      <w:r>
        <w:rPr>
          <w:szCs w:val="22"/>
        </w:rPr>
        <w:t xml:space="preserve"> and TP. TN decreased on average compared to last year </w:t>
      </w:r>
    </w:p>
    <w:p w:rsidR="00836AE5" w:rsidRDefault="00836AE5" w:rsidP="00836AE5">
      <w:pPr>
        <w:rPr>
          <w:szCs w:val="22"/>
        </w:rPr>
      </w:pPr>
    </w:p>
    <w:p w:rsidR="00836AE5" w:rsidRDefault="00836AE5" w:rsidP="00836AE5">
      <w:pPr>
        <w:rPr>
          <w:szCs w:val="22"/>
        </w:rPr>
      </w:pPr>
      <w:proofErr w:type="spellStart"/>
      <w:r>
        <w:rPr>
          <w:szCs w:val="22"/>
        </w:rPr>
        <w:t>Hypolimnetic</w:t>
      </w:r>
      <w:proofErr w:type="spellEnd"/>
      <w:r>
        <w:rPr>
          <w:szCs w:val="22"/>
        </w:rPr>
        <w:t xml:space="preserve"> oxygen levels did improve on the last two years, with a slower rate of oxygen consumption over the stratification period. </w:t>
      </w:r>
      <w:proofErr w:type="spellStart"/>
      <w:r>
        <w:rPr>
          <w:szCs w:val="22"/>
        </w:rPr>
        <w:t>Ammoniacal</w:t>
      </w:r>
      <w:proofErr w:type="spellEnd"/>
      <w:r>
        <w:rPr>
          <w:szCs w:val="22"/>
        </w:rPr>
        <w:t xml:space="preserve">-nitrogen concentrations did increase in the </w:t>
      </w:r>
      <w:proofErr w:type="spellStart"/>
      <w:r>
        <w:rPr>
          <w:szCs w:val="22"/>
        </w:rPr>
        <w:t>hypoliminion</w:t>
      </w:r>
      <w:proofErr w:type="spellEnd"/>
      <w:r>
        <w:rPr>
          <w:szCs w:val="22"/>
        </w:rPr>
        <w:t xml:space="preserve"> over the stratification period, although dissolved reactive phosphorus and nitrate-nitrite-nitrogen did not. A dramatic increase in lake level over the year will have had some influence on nutrient concentrations, particularly an increase in particulate phosphorus.</w:t>
      </w:r>
    </w:p>
    <w:p w:rsidR="00836AE5" w:rsidRDefault="00836AE5" w:rsidP="00836AE5">
      <w:pPr>
        <w:rPr>
          <w:szCs w:val="22"/>
        </w:rPr>
      </w:pPr>
    </w:p>
    <w:p w:rsidR="00836AE5" w:rsidRDefault="00836AE5" w:rsidP="00836AE5">
      <w:pPr>
        <w:jc w:val="center"/>
        <w:rPr>
          <w:szCs w:val="22"/>
        </w:rPr>
      </w:pPr>
      <w:r>
        <w:rPr>
          <w:noProof/>
          <w:lang w:eastAsia="en-NZ"/>
        </w:rPr>
        <w:drawing>
          <wp:inline distT="0" distB="0" distL="0" distR="0" wp14:anchorId="0F22F1E1" wp14:editId="4AA5F3A5">
            <wp:extent cx="4829175" cy="229552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6AE5" w:rsidRPr="007B280C" w:rsidRDefault="00836AE5" w:rsidP="00836AE5">
      <w:pPr>
        <w:jc w:val="left"/>
        <w:rPr>
          <w:rStyle w:val="SubtleEmphasis"/>
        </w:rPr>
      </w:pPr>
      <w:r w:rsidRPr="007B280C">
        <w:rPr>
          <w:rStyle w:val="SubtleEmphasis"/>
        </w:rPr>
        <w:t xml:space="preserve">Figure </w:t>
      </w:r>
      <w:r>
        <w:rPr>
          <w:rStyle w:val="SubtleEmphasis"/>
        </w:rPr>
        <w:t>7</w:t>
      </w:r>
      <w:r w:rsidRPr="007B280C">
        <w:rPr>
          <w:rStyle w:val="SubtleEmphasis"/>
        </w:rPr>
        <w:t xml:space="preserve">: Lake </w:t>
      </w:r>
      <w:proofErr w:type="spellStart"/>
      <w:r>
        <w:rPr>
          <w:rStyle w:val="SubtleEmphasis"/>
        </w:rPr>
        <w:t>Okareka</w:t>
      </w:r>
      <w:proofErr w:type="spellEnd"/>
      <w:r w:rsidRPr="007B280C">
        <w:rPr>
          <w:rStyle w:val="SubtleEmphasis"/>
        </w:rPr>
        <w:t xml:space="preserve"> annual average and three year average TLI results, compared to </w:t>
      </w:r>
      <w:r>
        <w:rPr>
          <w:rStyle w:val="SubtleEmphasis"/>
        </w:rPr>
        <w:t>the RNRP</w:t>
      </w:r>
      <w:r w:rsidRPr="007B280C">
        <w:rPr>
          <w:rStyle w:val="SubtleEmphasis"/>
        </w:rPr>
        <w:t xml:space="preserve"> Objective TLI.</w:t>
      </w:r>
    </w:p>
    <w:p w:rsidR="00336FA5" w:rsidRDefault="00336FA5"/>
    <w:p w:rsidR="00836AE5" w:rsidRDefault="00836AE5" w:rsidP="00836AE5">
      <w:pPr>
        <w:rPr>
          <w:b/>
          <w:szCs w:val="22"/>
        </w:rPr>
      </w:pPr>
      <w:r>
        <w:rPr>
          <w:b/>
          <w:szCs w:val="22"/>
        </w:rPr>
        <w:t xml:space="preserve">Lake </w:t>
      </w:r>
      <w:proofErr w:type="spellStart"/>
      <w:r w:rsidRPr="00C6263A">
        <w:rPr>
          <w:b/>
          <w:szCs w:val="22"/>
        </w:rPr>
        <w:t>Tarawera</w:t>
      </w:r>
      <w:proofErr w:type="spellEnd"/>
    </w:p>
    <w:p w:rsidR="00836AE5" w:rsidRPr="00C6263A" w:rsidRDefault="00836AE5" w:rsidP="00836AE5">
      <w:pPr>
        <w:rPr>
          <w:b/>
          <w:szCs w:val="22"/>
        </w:rPr>
      </w:pPr>
    </w:p>
    <w:p w:rsidR="00836AE5" w:rsidRPr="00660685" w:rsidRDefault="00836AE5" w:rsidP="00836AE5">
      <w:pPr>
        <w:rPr>
          <w:szCs w:val="22"/>
        </w:rPr>
      </w:pPr>
      <w:r>
        <w:rPr>
          <w:szCs w:val="22"/>
        </w:rPr>
        <w:t xml:space="preserve">The </w:t>
      </w:r>
      <w:r w:rsidRPr="00660685">
        <w:rPr>
          <w:szCs w:val="22"/>
        </w:rPr>
        <w:t xml:space="preserve">annual average TLI </w:t>
      </w:r>
      <w:r>
        <w:rPr>
          <w:szCs w:val="22"/>
        </w:rPr>
        <w:t xml:space="preserve">in </w:t>
      </w:r>
      <w:r w:rsidRPr="00660685">
        <w:rPr>
          <w:szCs w:val="22"/>
        </w:rPr>
        <w:t xml:space="preserve">Lake </w:t>
      </w:r>
      <w:proofErr w:type="spellStart"/>
      <w:r w:rsidRPr="00660685">
        <w:rPr>
          <w:szCs w:val="22"/>
        </w:rPr>
        <w:t>Tarawera</w:t>
      </w:r>
      <w:proofErr w:type="spellEnd"/>
      <w:r w:rsidRPr="00660685">
        <w:rPr>
          <w:szCs w:val="22"/>
        </w:rPr>
        <w:t xml:space="preserve"> </w:t>
      </w:r>
      <w:r>
        <w:rPr>
          <w:szCs w:val="22"/>
        </w:rPr>
        <w:t>remained the same as</w:t>
      </w:r>
      <w:r w:rsidRPr="00660685">
        <w:rPr>
          <w:szCs w:val="22"/>
        </w:rPr>
        <w:t xml:space="preserve"> </w:t>
      </w:r>
      <w:r>
        <w:rPr>
          <w:szCs w:val="22"/>
        </w:rPr>
        <w:t>2016/2017</w:t>
      </w:r>
      <w:r w:rsidRPr="00660685">
        <w:rPr>
          <w:szCs w:val="22"/>
        </w:rPr>
        <w:t xml:space="preserve"> </w:t>
      </w:r>
      <w:r>
        <w:rPr>
          <w:szCs w:val="22"/>
        </w:rPr>
        <w:t>at 3.1</w:t>
      </w:r>
      <w:r w:rsidRPr="00660685">
        <w:rPr>
          <w:szCs w:val="22"/>
        </w:rPr>
        <w:t>. The TLI remain</w:t>
      </w:r>
      <w:r>
        <w:rPr>
          <w:szCs w:val="22"/>
        </w:rPr>
        <w:t>s</w:t>
      </w:r>
      <w:r w:rsidRPr="00660685">
        <w:rPr>
          <w:szCs w:val="22"/>
        </w:rPr>
        <w:t xml:space="preserve"> almost 0.5</w:t>
      </w:r>
      <w:r>
        <w:rPr>
          <w:szCs w:val="22"/>
        </w:rPr>
        <w:t xml:space="preserve"> </w:t>
      </w:r>
      <w:r w:rsidRPr="00660685">
        <w:rPr>
          <w:szCs w:val="22"/>
        </w:rPr>
        <w:t>above the R</w:t>
      </w:r>
      <w:r>
        <w:rPr>
          <w:szCs w:val="22"/>
        </w:rPr>
        <w:t>NR</w:t>
      </w:r>
      <w:r w:rsidRPr="00660685">
        <w:rPr>
          <w:szCs w:val="22"/>
        </w:rPr>
        <w:t xml:space="preserve">P objective of 2.6, with the three year average </w:t>
      </w:r>
      <w:r>
        <w:rPr>
          <w:szCs w:val="22"/>
        </w:rPr>
        <w:t>at 3.1</w:t>
      </w:r>
      <w:r w:rsidRPr="00660685">
        <w:rPr>
          <w:szCs w:val="22"/>
        </w:rPr>
        <w:t xml:space="preserve">. </w:t>
      </w:r>
    </w:p>
    <w:p w:rsidR="00836AE5" w:rsidRPr="00660685" w:rsidRDefault="00836AE5" w:rsidP="00836AE5">
      <w:pPr>
        <w:rPr>
          <w:szCs w:val="22"/>
        </w:rPr>
      </w:pPr>
    </w:p>
    <w:p w:rsidR="00836AE5" w:rsidRDefault="00836AE5" w:rsidP="00836AE5">
      <w:pPr>
        <w:rPr>
          <w:szCs w:val="22"/>
        </w:rPr>
      </w:pPr>
      <w:r>
        <w:rPr>
          <w:szCs w:val="22"/>
        </w:rPr>
        <w:t>Like many of the other lakes, the chlorophyll-</w:t>
      </w:r>
      <w:proofErr w:type="gramStart"/>
      <w:r w:rsidRPr="00A97F68">
        <w:rPr>
          <w:i/>
          <w:szCs w:val="22"/>
        </w:rPr>
        <w:t>a</w:t>
      </w:r>
      <w:proofErr w:type="gramEnd"/>
      <w:r>
        <w:rPr>
          <w:szCs w:val="22"/>
        </w:rPr>
        <w:t xml:space="preserve"> annual average concentration increased compared to the previous nine years, with a corresponding decrease in water clarity. Both total and dissolved p</w:t>
      </w:r>
      <w:r w:rsidRPr="00660685">
        <w:rPr>
          <w:szCs w:val="22"/>
        </w:rPr>
        <w:t xml:space="preserve">hosphorus concentrations </w:t>
      </w:r>
      <w:r>
        <w:rPr>
          <w:szCs w:val="22"/>
        </w:rPr>
        <w:t>decreased moderately compared to last year’s annual average</w:t>
      </w:r>
      <w:r w:rsidRPr="00660685">
        <w:rPr>
          <w:szCs w:val="22"/>
        </w:rPr>
        <w:t xml:space="preserve">. Annual average nitrogen concentrations </w:t>
      </w:r>
      <w:r>
        <w:rPr>
          <w:szCs w:val="22"/>
        </w:rPr>
        <w:t xml:space="preserve">were similar to last year, with nitrate-nitrite-nitrogen showing an increase in both the </w:t>
      </w:r>
      <w:proofErr w:type="spellStart"/>
      <w:r>
        <w:rPr>
          <w:szCs w:val="22"/>
        </w:rPr>
        <w:t>epilimnion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hypolimnion</w:t>
      </w:r>
      <w:proofErr w:type="spellEnd"/>
      <w:r>
        <w:rPr>
          <w:szCs w:val="22"/>
        </w:rPr>
        <w:t>.</w:t>
      </w:r>
      <w:r w:rsidRPr="00660685">
        <w:rPr>
          <w:szCs w:val="22"/>
        </w:rPr>
        <w:t xml:space="preserve"> The annual average </w:t>
      </w:r>
      <w:proofErr w:type="spellStart"/>
      <w:r w:rsidRPr="00660685">
        <w:rPr>
          <w:szCs w:val="22"/>
        </w:rPr>
        <w:t>Secchi</w:t>
      </w:r>
      <w:proofErr w:type="spellEnd"/>
      <w:r w:rsidRPr="00660685">
        <w:rPr>
          <w:szCs w:val="22"/>
        </w:rPr>
        <w:t xml:space="preserve"> depth (water clarity) has </w:t>
      </w:r>
      <w:r>
        <w:rPr>
          <w:szCs w:val="22"/>
        </w:rPr>
        <w:t>increased</w:t>
      </w:r>
      <w:r w:rsidRPr="00660685">
        <w:rPr>
          <w:szCs w:val="22"/>
        </w:rPr>
        <w:t xml:space="preserve"> </w:t>
      </w:r>
      <w:r>
        <w:rPr>
          <w:szCs w:val="22"/>
        </w:rPr>
        <w:t>compared to</w:t>
      </w:r>
      <w:r w:rsidRPr="00660685">
        <w:rPr>
          <w:szCs w:val="22"/>
        </w:rPr>
        <w:t xml:space="preserve"> the previous </w:t>
      </w:r>
      <w:r>
        <w:rPr>
          <w:szCs w:val="22"/>
        </w:rPr>
        <w:t xml:space="preserve">five </w:t>
      </w:r>
      <w:r w:rsidRPr="00660685">
        <w:rPr>
          <w:szCs w:val="22"/>
        </w:rPr>
        <w:t>years</w:t>
      </w:r>
      <w:r>
        <w:rPr>
          <w:szCs w:val="22"/>
        </w:rPr>
        <w:t xml:space="preserve">. </w:t>
      </w:r>
    </w:p>
    <w:p w:rsidR="00836AE5" w:rsidRDefault="00836AE5" w:rsidP="00836AE5">
      <w:pPr>
        <w:rPr>
          <w:szCs w:val="22"/>
        </w:rPr>
      </w:pPr>
    </w:p>
    <w:p w:rsidR="00836AE5" w:rsidRDefault="00836AE5" w:rsidP="00836AE5">
      <w:pPr>
        <w:rPr>
          <w:szCs w:val="22"/>
        </w:rPr>
      </w:pPr>
      <w:r>
        <w:rPr>
          <w:szCs w:val="22"/>
        </w:rPr>
        <w:t xml:space="preserve">Cyanobacteria </w:t>
      </w:r>
      <w:proofErr w:type="spellStart"/>
      <w:r>
        <w:rPr>
          <w:szCs w:val="22"/>
        </w:rPr>
        <w:t>biovolumes</w:t>
      </w:r>
      <w:proofErr w:type="spellEnd"/>
      <w:r>
        <w:rPr>
          <w:szCs w:val="22"/>
        </w:rPr>
        <w:t xml:space="preserve"> for the most part did not reach alert levels, with the exception of one sample taken near the </w:t>
      </w:r>
      <w:proofErr w:type="spellStart"/>
      <w:r>
        <w:rPr>
          <w:szCs w:val="22"/>
        </w:rPr>
        <w:t>Tarawera</w:t>
      </w:r>
      <w:proofErr w:type="spellEnd"/>
      <w:r>
        <w:rPr>
          <w:szCs w:val="22"/>
        </w:rPr>
        <w:t xml:space="preserve"> outlet (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Tapahoro</w:t>
      </w:r>
      <w:proofErr w:type="spellEnd"/>
      <w:r>
        <w:rPr>
          <w:szCs w:val="22"/>
        </w:rPr>
        <w:t xml:space="preserve">) which did reach the orange alert level in early </w:t>
      </w:r>
      <w:r w:rsidRPr="00F35642">
        <w:rPr>
          <w:sz w:val="20"/>
          <w:szCs w:val="22"/>
        </w:rPr>
        <w:t>February</w:t>
      </w:r>
      <w:r>
        <w:rPr>
          <w:szCs w:val="22"/>
        </w:rPr>
        <w:t>. No health warnings were posted over the 2017/2018 season.</w:t>
      </w:r>
    </w:p>
    <w:p w:rsidR="00836AE5" w:rsidRDefault="00836AE5" w:rsidP="00836AE5">
      <w:pPr>
        <w:rPr>
          <w:szCs w:val="22"/>
        </w:rPr>
      </w:pPr>
    </w:p>
    <w:p w:rsidR="00836AE5" w:rsidRPr="00693096" w:rsidRDefault="00836AE5" w:rsidP="00836AE5">
      <w:pPr>
        <w:jc w:val="center"/>
        <w:rPr>
          <w:szCs w:val="22"/>
        </w:rPr>
      </w:pPr>
      <w:r>
        <w:rPr>
          <w:noProof/>
          <w:lang w:eastAsia="en-NZ"/>
        </w:rPr>
        <w:lastRenderedPageBreak/>
        <w:drawing>
          <wp:inline distT="0" distB="0" distL="0" distR="0" wp14:anchorId="4A148AF4" wp14:editId="11237C99">
            <wp:extent cx="4895850" cy="21621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6AE5" w:rsidRPr="007B280C" w:rsidRDefault="00836AE5" w:rsidP="00836AE5">
      <w:pPr>
        <w:jc w:val="left"/>
        <w:rPr>
          <w:rStyle w:val="SubtleEmphasis"/>
        </w:rPr>
      </w:pPr>
      <w:r w:rsidRPr="007B280C">
        <w:rPr>
          <w:rStyle w:val="SubtleEmphasis"/>
        </w:rPr>
        <w:t xml:space="preserve">Figure </w:t>
      </w:r>
      <w:r>
        <w:rPr>
          <w:rStyle w:val="SubtleEmphasis"/>
        </w:rPr>
        <w:t>11:</w:t>
      </w:r>
      <w:r w:rsidRPr="007B280C">
        <w:rPr>
          <w:rStyle w:val="SubtleEmphasis"/>
        </w:rPr>
        <w:t xml:space="preserve"> Lake </w:t>
      </w:r>
      <w:proofErr w:type="spellStart"/>
      <w:r>
        <w:rPr>
          <w:rStyle w:val="SubtleEmphasis"/>
        </w:rPr>
        <w:t>Tarawera</w:t>
      </w:r>
      <w:proofErr w:type="spellEnd"/>
      <w:r>
        <w:rPr>
          <w:rStyle w:val="SubtleEmphasis"/>
        </w:rPr>
        <w:t xml:space="preserve"> </w:t>
      </w:r>
      <w:r w:rsidRPr="007B280C">
        <w:rPr>
          <w:rStyle w:val="SubtleEmphasis"/>
        </w:rPr>
        <w:t xml:space="preserve">annual average and three year average TLI results, compared to </w:t>
      </w:r>
      <w:r>
        <w:rPr>
          <w:rStyle w:val="SubtleEmphasis"/>
        </w:rPr>
        <w:t>the RNRP</w:t>
      </w:r>
      <w:r w:rsidRPr="007B280C">
        <w:rPr>
          <w:rStyle w:val="SubtleEmphasis"/>
        </w:rPr>
        <w:t xml:space="preserve"> Objective TLI.</w:t>
      </w:r>
    </w:p>
    <w:p w:rsidR="00836AE5" w:rsidRDefault="00836AE5"/>
    <w:p w:rsidR="00836AE5" w:rsidRDefault="00836AE5"/>
    <w:p w:rsidR="00836AE5" w:rsidRDefault="00836AE5" w:rsidP="00836AE5">
      <w:r>
        <w:rPr>
          <w:noProof/>
          <w:lang w:eastAsia="en-NZ"/>
        </w:rPr>
        <w:drawing>
          <wp:inline distT="0" distB="0" distL="0" distR="0" wp14:anchorId="43DBEEB7" wp14:editId="6761C8E8">
            <wp:extent cx="5943600" cy="2798445"/>
            <wp:effectExtent l="0" t="0" r="0" b="19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6AE5" w:rsidRDefault="00836AE5" w:rsidP="00836AE5">
      <w:pPr>
        <w:ind w:left="1440"/>
      </w:pPr>
      <w:r>
        <w:rPr>
          <w:sz w:val="18"/>
          <w:szCs w:val="18"/>
          <w:lang w:val="en-GB"/>
        </w:rPr>
        <w:t xml:space="preserve">Note: Lake </w:t>
      </w:r>
      <w:proofErr w:type="spellStart"/>
      <w:r>
        <w:rPr>
          <w:sz w:val="18"/>
          <w:szCs w:val="18"/>
          <w:lang w:val="en-GB"/>
        </w:rPr>
        <w:t>Rotokakahi</w:t>
      </w:r>
      <w:proofErr w:type="spellEnd"/>
      <w:r>
        <w:rPr>
          <w:sz w:val="18"/>
          <w:szCs w:val="18"/>
          <w:lang w:val="en-GB"/>
        </w:rPr>
        <w:t xml:space="preserve"> TLI’s are based</w:t>
      </w:r>
      <w:r>
        <w:rPr>
          <w:sz w:val="18"/>
          <w:szCs w:val="18"/>
        </w:rPr>
        <w:t xml:space="preserve"> on </w:t>
      </w:r>
      <w:proofErr w:type="spellStart"/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Wairoa Stream monitoring and a three-parameter TLI (no </w:t>
      </w:r>
      <w:proofErr w:type="spellStart"/>
      <w:r>
        <w:rPr>
          <w:sz w:val="18"/>
          <w:szCs w:val="18"/>
        </w:rPr>
        <w:t>Secchi</w:t>
      </w:r>
      <w:proofErr w:type="spellEnd"/>
      <w:r>
        <w:rPr>
          <w:sz w:val="18"/>
          <w:szCs w:val="18"/>
        </w:rPr>
        <w:t xml:space="preserve"> disk).</w:t>
      </w:r>
    </w:p>
    <w:p w:rsidR="00836AE5" w:rsidRDefault="00836AE5" w:rsidP="00836AE5"/>
    <w:p w:rsidR="00836AE5" w:rsidRPr="007B280C" w:rsidRDefault="00836AE5" w:rsidP="00836AE5">
      <w:pPr>
        <w:rPr>
          <w:rStyle w:val="SubtleEmphasis"/>
        </w:rPr>
      </w:pPr>
      <w:r w:rsidRPr="007B280C">
        <w:rPr>
          <w:rStyle w:val="SubtleEmphasis"/>
        </w:rPr>
        <w:t>Figure</w:t>
      </w:r>
      <w:r>
        <w:rPr>
          <w:rStyle w:val="SubtleEmphasis"/>
        </w:rPr>
        <w:t xml:space="preserve"> 13</w:t>
      </w:r>
      <w:r w:rsidRPr="007B280C">
        <w:rPr>
          <w:rStyle w:val="SubtleEmphasis"/>
        </w:rPr>
        <w:t xml:space="preserve">: Regional </w:t>
      </w:r>
      <w:r>
        <w:rPr>
          <w:rStyle w:val="SubtleEmphasis"/>
        </w:rPr>
        <w:t>Natural Resources Plan (RNR</w:t>
      </w:r>
      <w:r w:rsidRPr="007B280C">
        <w:rPr>
          <w:rStyle w:val="SubtleEmphasis"/>
        </w:rPr>
        <w:t>P) TLI Objectives and average annual TLI results, 2011 to 201</w:t>
      </w:r>
      <w:r>
        <w:rPr>
          <w:rStyle w:val="SubtleEmphasis"/>
        </w:rPr>
        <w:t>8</w:t>
      </w:r>
      <w:r w:rsidRPr="007B280C">
        <w:rPr>
          <w:rStyle w:val="SubtleEmphasis"/>
        </w:rPr>
        <w:t>.</w:t>
      </w:r>
    </w:p>
    <w:p w:rsidR="00836AE5" w:rsidRDefault="00836AE5">
      <w:bookmarkStart w:id="0" w:name="_GoBack"/>
      <w:bookmarkEnd w:id="0"/>
    </w:p>
    <w:sectPr w:rsidR="00836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E5"/>
    <w:rsid w:val="00003405"/>
    <w:rsid w:val="00003D75"/>
    <w:rsid w:val="00012CD8"/>
    <w:rsid w:val="000316D8"/>
    <w:rsid w:val="00036ACE"/>
    <w:rsid w:val="00037C1F"/>
    <w:rsid w:val="0004127E"/>
    <w:rsid w:val="00041D00"/>
    <w:rsid w:val="00067A03"/>
    <w:rsid w:val="00071408"/>
    <w:rsid w:val="00071ACC"/>
    <w:rsid w:val="00081B7E"/>
    <w:rsid w:val="0009570C"/>
    <w:rsid w:val="000A6675"/>
    <w:rsid w:val="000B650C"/>
    <w:rsid w:val="000D3E66"/>
    <w:rsid w:val="000D6602"/>
    <w:rsid w:val="000F3C5C"/>
    <w:rsid w:val="000F3E16"/>
    <w:rsid w:val="00124F24"/>
    <w:rsid w:val="001435BD"/>
    <w:rsid w:val="00166AC0"/>
    <w:rsid w:val="00176181"/>
    <w:rsid w:val="0018495A"/>
    <w:rsid w:val="00194CBF"/>
    <w:rsid w:val="001C6862"/>
    <w:rsid w:val="001C7783"/>
    <w:rsid w:val="001E1880"/>
    <w:rsid w:val="001E55FD"/>
    <w:rsid w:val="00205123"/>
    <w:rsid w:val="0021348C"/>
    <w:rsid w:val="002135EE"/>
    <w:rsid w:val="002150FC"/>
    <w:rsid w:val="0022039E"/>
    <w:rsid w:val="002307C9"/>
    <w:rsid w:val="0026087D"/>
    <w:rsid w:val="00267067"/>
    <w:rsid w:val="00270D12"/>
    <w:rsid w:val="002937AC"/>
    <w:rsid w:val="0029617E"/>
    <w:rsid w:val="002966AE"/>
    <w:rsid w:val="002A0AC4"/>
    <w:rsid w:val="002B40F1"/>
    <w:rsid w:val="002C21F1"/>
    <w:rsid w:val="002E0CC8"/>
    <w:rsid w:val="002E13C4"/>
    <w:rsid w:val="002E4784"/>
    <w:rsid w:val="002E4DD5"/>
    <w:rsid w:val="002F03F5"/>
    <w:rsid w:val="0030253F"/>
    <w:rsid w:val="00312CD3"/>
    <w:rsid w:val="003139E9"/>
    <w:rsid w:val="003241D9"/>
    <w:rsid w:val="00325BC9"/>
    <w:rsid w:val="00326528"/>
    <w:rsid w:val="00332769"/>
    <w:rsid w:val="0033418D"/>
    <w:rsid w:val="0033578F"/>
    <w:rsid w:val="00336FA5"/>
    <w:rsid w:val="00340C32"/>
    <w:rsid w:val="003410C1"/>
    <w:rsid w:val="0034696C"/>
    <w:rsid w:val="003633CC"/>
    <w:rsid w:val="00364B4D"/>
    <w:rsid w:val="00384650"/>
    <w:rsid w:val="003A7B92"/>
    <w:rsid w:val="003B1823"/>
    <w:rsid w:val="003E37ED"/>
    <w:rsid w:val="003E7F32"/>
    <w:rsid w:val="003F0D88"/>
    <w:rsid w:val="0040365A"/>
    <w:rsid w:val="004060E4"/>
    <w:rsid w:val="0042146E"/>
    <w:rsid w:val="00436214"/>
    <w:rsid w:val="00440BA4"/>
    <w:rsid w:val="00453F89"/>
    <w:rsid w:val="004612EE"/>
    <w:rsid w:val="004843FC"/>
    <w:rsid w:val="004901ED"/>
    <w:rsid w:val="00495067"/>
    <w:rsid w:val="004970B5"/>
    <w:rsid w:val="004A1B78"/>
    <w:rsid w:val="004A7111"/>
    <w:rsid w:val="004B44F5"/>
    <w:rsid w:val="004C1DC6"/>
    <w:rsid w:val="004C47E4"/>
    <w:rsid w:val="004F79A1"/>
    <w:rsid w:val="00501CD0"/>
    <w:rsid w:val="00507CFF"/>
    <w:rsid w:val="005166C6"/>
    <w:rsid w:val="00521172"/>
    <w:rsid w:val="00525457"/>
    <w:rsid w:val="005265F0"/>
    <w:rsid w:val="00527537"/>
    <w:rsid w:val="005312AC"/>
    <w:rsid w:val="00547756"/>
    <w:rsid w:val="005604D2"/>
    <w:rsid w:val="00560C41"/>
    <w:rsid w:val="00567D93"/>
    <w:rsid w:val="0059179E"/>
    <w:rsid w:val="00593967"/>
    <w:rsid w:val="005A1EB4"/>
    <w:rsid w:val="005A5B25"/>
    <w:rsid w:val="005C4D84"/>
    <w:rsid w:val="005D2D86"/>
    <w:rsid w:val="005E021D"/>
    <w:rsid w:val="005F028A"/>
    <w:rsid w:val="005F08FB"/>
    <w:rsid w:val="00615B06"/>
    <w:rsid w:val="006238BE"/>
    <w:rsid w:val="006239CA"/>
    <w:rsid w:val="006345BF"/>
    <w:rsid w:val="00643624"/>
    <w:rsid w:val="00645C84"/>
    <w:rsid w:val="00647F18"/>
    <w:rsid w:val="006637D4"/>
    <w:rsid w:val="006669E1"/>
    <w:rsid w:val="006A61D1"/>
    <w:rsid w:val="006B2EDB"/>
    <w:rsid w:val="006C33FD"/>
    <w:rsid w:val="006D79D0"/>
    <w:rsid w:val="006D7F35"/>
    <w:rsid w:val="006F2833"/>
    <w:rsid w:val="007111CB"/>
    <w:rsid w:val="007223F2"/>
    <w:rsid w:val="00732B7B"/>
    <w:rsid w:val="00747BCA"/>
    <w:rsid w:val="00750B22"/>
    <w:rsid w:val="00762B35"/>
    <w:rsid w:val="0077515E"/>
    <w:rsid w:val="00790A36"/>
    <w:rsid w:val="00790DE3"/>
    <w:rsid w:val="007A1882"/>
    <w:rsid w:val="007B5B95"/>
    <w:rsid w:val="007C5513"/>
    <w:rsid w:val="007C6E36"/>
    <w:rsid w:val="007D5E10"/>
    <w:rsid w:val="008056D5"/>
    <w:rsid w:val="00805E11"/>
    <w:rsid w:val="00827376"/>
    <w:rsid w:val="00836441"/>
    <w:rsid w:val="00836AE5"/>
    <w:rsid w:val="00866B9B"/>
    <w:rsid w:val="00872643"/>
    <w:rsid w:val="00881EA0"/>
    <w:rsid w:val="0088699A"/>
    <w:rsid w:val="008A50D8"/>
    <w:rsid w:val="008B795A"/>
    <w:rsid w:val="008C7A18"/>
    <w:rsid w:val="008D152C"/>
    <w:rsid w:val="008D47DA"/>
    <w:rsid w:val="00915306"/>
    <w:rsid w:val="00920396"/>
    <w:rsid w:val="0093490E"/>
    <w:rsid w:val="009471C3"/>
    <w:rsid w:val="00955960"/>
    <w:rsid w:val="00955E0D"/>
    <w:rsid w:val="009562A3"/>
    <w:rsid w:val="0096380A"/>
    <w:rsid w:val="009915EE"/>
    <w:rsid w:val="009B28EA"/>
    <w:rsid w:val="009B2CA7"/>
    <w:rsid w:val="009B370E"/>
    <w:rsid w:val="009E5773"/>
    <w:rsid w:val="009E6A88"/>
    <w:rsid w:val="009F6020"/>
    <w:rsid w:val="00A300C2"/>
    <w:rsid w:val="00A61FFD"/>
    <w:rsid w:val="00A769A5"/>
    <w:rsid w:val="00A76D39"/>
    <w:rsid w:val="00A93548"/>
    <w:rsid w:val="00AB4968"/>
    <w:rsid w:val="00AB6B2C"/>
    <w:rsid w:val="00AD3899"/>
    <w:rsid w:val="00AE0273"/>
    <w:rsid w:val="00B01C3A"/>
    <w:rsid w:val="00B037F4"/>
    <w:rsid w:val="00B265F1"/>
    <w:rsid w:val="00B31370"/>
    <w:rsid w:val="00B356F3"/>
    <w:rsid w:val="00B41997"/>
    <w:rsid w:val="00B4509F"/>
    <w:rsid w:val="00B51A1C"/>
    <w:rsid w:val="00B571A3"/>
    <w:rsid w:val="00B67875"/>
    <w:rsid w:val="00B75CE4"/>
    <w:rsid w:val="00BE4D5B"/>
    <w:rsid w:val="00C364A6"/>
    <w:rsid w:val="00C409DD"/>
    <w:rsid w:val="00C550CF"/>
    <w:rsid w:val="00C80BBB"/>
    <w:rsid w:val="00C8155D"/>
    <w:rsid w:val="00CA08A5"/>
    <w:rsid w:val="00CA52D4"/>
    <w:rsid w:val="00CC2F04"/>
    <w:rsid w:val="00CC5E23"/>
    <w:rsid w:val="00CD6F88"/>
    <w:rsid w:val="00CF7C9E"/>
    <w:rsid w:val="00D03EF1"/>
    <w:rsid w:val="00D33D26"/>
    <w:rsid w:val="00D35970"/>
    <w:rsid w:val="00D403ED"/>
    <w:rsid w:val="00D43FA3"/>
    <w:rsid w:val="00D513B0"/>
    <w:rsid w:val="00D75C24"/>
    <w:rsid w:val="00DA02AC"/>
    <w:rsid w:val="00DB5033"/>
    <w:rsid w:val="00DB638A"/>
    <w:rsid w:val="00DC388C"/>
    <w:rsid w:val="00DC41D9"/>
    <w:rsid w:val="00E0250B"/>
    <w:rsid w:val="00E21A98"/>
    <w:rsid w:val="00E4016B"/>
    <w:rsid w:val="00E43583"/>
    <w:rsid w:val="00E472F2"/>
    <w:rsid w:val="00E5316F"/>
    <w:rsid w:val="00E55822"/>
    <w:rsid w:val="00E655AF"/>
    <w:rsid w:val="00E76EA4"/>
    <w:rsid w:val="00EB76F4"/>
    <w:rsid w:val="00ED0C1B"/>
    <w:rsid w:val="00EE42B6"/>
    <w:rsid w:val="00EF26F7"/>
    <w:rsid w:val="00EF5F57"/>
    <w:rsid w:val="00EF655B"/>
    <w:rsid w:val="00F03996"/>
    <w:rsid w:val="00F22F1C"/>
    <w:rsid w:val="00F23CC6"/>
    <w:rsid w:val="00F27933"/>
    <w:rsid w:val="00F30049"/>
    <w:rsid w:val="00F564A0"/>
    <w:rsid w:val="00F6249B"/>
    <w:rsid w:val="00F63BBA"/>
    <w:rsid w:val="00F748C3"/>
    <w:rsid w:val="00F80620"/>
    <w:rsid w:val="00F82966"/>
    <w:rsid w:val="00F840CC"/>
    <w:rsid w:val="00F87B63"/>
    <w:rsid w:val="00F90707"/>
    <w:rsid w:val="00FA1D00"/>
    <w:rsid w:val="00FA5152"/>
    <w:rsid w:val="00FA683A"/>
    <w:rsid w:val="00FB7DA3"/>
    <w:rsid w:val="00FC0993"/>
    <w:rsid w:val="00FC3E26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E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36AE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E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36AE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hart" Target="charts/chart3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chart" Target="charts/chart2.xml" Id="rId6" /><Relationship Type="http://schemas.openxmlformats.org/officeDocument/2006/relationships/chart" Target="charts/chart1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Rfa966a3ba43441da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s\objective-8008-PaulS\Objects\TLI%203%20year%20average%20analysis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NZ" sz="1000"/>
              <a:t>Lake Okareka</a:t>
            </a:r>
          </a:p>
        </c:rich>
      </c:tx>
      <c:layout>
        <c:manualLayout>
          <c:xMode val="edge"/>
          <c:yMode val="edge"/>
          <c:x val="0.4464176593310451"/>
          <c:y val="4.522626482034573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228820398831204"/>
          <c:y val="0.27135744974248621"/>
          <c:w val="0.83037635288837697"/>
          <c:h val="0.4874383819448363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Okareka!$B$1</c:f>
              <c:strCache>
                <c:ptCount val="1"/>
                <c:pt idx="0">
                  <c:v>TLI Average</c:v>
                </c:pt>
              </c:strCache>
            </c:strRef>
          </c:tx>
          <c:spPr>
            <a:ln w="25400">
              <a:solidFill>
                <a:schemeClr val="tx2">
                  <a:lumMod val="40000"/>
                  <a:lumOff val="60000"/>
                </a:schemeClr>
              </a:solidFill>
              <a:prstDash val="sysDot"/>
            </a:ln>
          </c:spPr>
          <c:marker>
            <c:symbol val="diamond"/>
            <c:size val="5"/>
            <c:spPr>
              <a:noFill/>
              <a:ln>
                <a:solidFill>
                  <a:srgbClr val="00008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Okareka!$D$2:$D$27</c:f>
                <c:numCache>
                  <c:formatCode>General</c:formatCode>
                  <c:ptCount val="26"/>
                  <c:pt idx="0">
                    <c:v>0.15398369579004012</c:v>
                  </c:pt>
                  <c:pt idx="1">
                    <c:v>8.3001582966216556E-2</c:v>
                  </c:pt>
                  <c:pt idx="2">
                    <c:v>0.1255540821836717</c:v>
                  </c:pt>
                  <c:pt idx="3">
                    <c:v>0.17200659686684441</c:v>
                  </c:pt>
                  <c:pt idx="4">
                    <c:v>9.7435534914825039E-2</c:v>
                  </c:pt>
                  <c:pt idx="5">
                    <c:v>6.4467106426742235E-2</c:v>
                  </c:pt>
                  <c:pt idx="6">
                    <c:v>0.16665934552262276</c:v>
                  </c:pt>
                  <c:pt idx="7">
                    <c:v>4.4339027692044224E-2</c:v>
                  </c:pt>
                  <c:pt idx="8">
                    <c:v>7.0795110949359405E-2</c:v>
                  </c:pt>
                  <c:pt idx="9">
                    <c:v>5.5951575779091364E-2</c:v>
                  </c:pt>
                  <c:pt idx="10">
                    <c:v>4.6798577844844334E-2</c:v>
                  </c:pt>
                  <c:pt idx="11">
                    <c:v>8.105556835857429E-2</c:v>
                  </c:pt>
                  <c:pt idx="12">
                    <c:v>8.9744464872633073E-2</c:v>
                  </c:pt>
                  <c:pt idx="13">
                    <c:v>5.0779678684044177E-2</c:v>
                  </c:pt>
                  <c:pt idx="14">
                    <c:v>4.6845742019167837E-2</c:v>
                  </c:pt>
                  <c:pt idx="15">
                    <c:v>0.11093590361525474</c:v>
                  </c:pt>
                  <c:pt idx="16">
                    <c:v>0.11191242388362645</c:v>
                  </c:pt>
                  <c:pt idx="17">
                    <c:v>3.3692446370029182E-2</c:v>
                  </c:pt>
                  <c:pt idx="18">
                    <c:v>5.2468569791067066E-2</c:v>
                  </c:pt>
                  <c:pt idx="19">
                    <c:v>5.5325028703156948E-2</c:v>
                  </c:pt>
                  <c:pt idx="20">
                    <c:v>5.8669608485428168E-2</c:v>
                  </c:pt>
                  <c:pt idx="21">
                    <c:v>6.7926296817107018E-2</c:v>
                  </c:pt>
                  <c:pt idx="22">
                    <c:v>0.08</c:v>
                  </c:pt>
                  <c:pt idx="23">
                    <c:v>0.06</c:v>
                  </c:pt>
                  <c:pt idx="24">
                    <c:v>0.06</c:v>
                  </c:pt>
                  <c:pt idx="25">
                    <c:v>7.0000000000000007E-2</c:v>
                  </c:pt>
                </c:numCache>
              </c:numRef>
            </c:plus>
            <c:minus>
              <c:numRef>
                <c:f>Okareka!$D$2:$D$27</c:f>
                <c:numCache>
                  <c:formatCode>General</c:formatCode>
                  <c:ptCount val="26"/>
                  <c:pt idx="0">
                    <c:v>0.15398369579004012</c:v>
                  </c:pt>
                  <c:pt idx="1">
                    <c:v>8.3001582966216556E-2</c:v>
                  </c:pt>
                  <c:pt idx="2">
                    <c:v>0.1255540821836717</c:v>
                  </c:pt>
                  <c:pt idx="3">
                    <c:v>0.17200659686684441</c:v>
                  </c:pt>
                  <c:pt idx="4">
                    <c:v>9.7435534914825039E-2</c:v>
                  </c:pt>
                  <c:pt idx="5">
                    <c:v>6.4467106426742235E-2</c:v>
                  </c:pt>
                  <c:pt idx="6">
                    <c:v>0.16665934552262276</c:v>
                  </c:pt>
                  <c:pt idx="7">
                    <c:v>4.4339027692044224E-2</c:v>
                  </c:pt>
                  <c:pt idx="8">
                    <c:v>7.0795110949359405E-2</c:v>
                  </c:pt>
                  <c:pt idx="9">
                    <c:v>5.5951575779091364E-2</c:v>
                  </c:pt>
                  <c:pt idx="10">
                    <c:v>4.6798577844844334E-2</c:v>
                  </c:pt>
                  <c:pt idx="11">
                    <c:v>8.105556835857429E-2</c:v>
                  </c:pt>
                  <c:pt idx="12">
                    <c:v>8.9744464872633073E-2</c:v>
                  </c:pt>
                  <c:pt idx="13">
                    <c:v>5.0779678684044177E-2</c:v>
                  </c:pt>
                  <c:pt idx="14">
                    <c:v>4.6845742019167837E-2</c:v>
                  </c:pt>
                  <c:pt idx="15">
                    <c:v>0.11093590361525474</c:v>
                  </c:pt>
                  <c:pt idx="16">
                    <c:v>0.11191242388362645</c:v>
                  </c:pt>
                  <c:pt idx="17">
                    <c:v>3.3692446370029182E-2</c:v>
                  </c:pt>
                  <c:pt idx="18">
                    <c:v>5.2468569791067066E-2</c:v>
                  </c:pt>
                  <c:pt idx="19">
                    <c:v>5.5325028703156948E-2</c:v>
                  </c:pt>
                  <c:pt idx="20">
                    <c:v>5.8669608485428168E-2</c:v>
                  </c:pt>
                  <c:pt idx="21">
                    <c:v>6.7926296817107018E-2</c:v>
                  </c:pt>
                  <c:pt idx="22">
                    <c:v>0.08</c:v>
                  </c:pt>
                  <c:pt idx="23">
                    <c:v>0.06</c:v>
                  </c:pt>
                  <c:pt idx="24">
                    <c:v>0.06</c:v>
                  </c:pt>
                  <c:pt idx="25">
                    <c:v>7.0000000000000007E-2</c:v>
                  </c:pt>
                </c:numCache>
              </c:numRef>
            </c:minus>
          </c:errBars>
          <c:xVal>
            <c:numRef>
              <c:f>Okareka!$A$2:$A$28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</c:numCache>
            </c:numRef>
          </c:xVal>
          <c:yVal>
            <c:numRef>
              <c:f>Okareka!$B$2:$B$28</c:f>
              <c:numCache>
                <c:formatCode>General</c:formatCode>
                <c:ptCount val="27"/>
                <c:pt idx="0">
                  <c:v>3</c:v>
                </c:pt>
                <c:pt idx="1">
                  <c:v>2.89</c:v>
                </c:pt>
                <c:pt idx="2">
                  <c:v>3.17</c:v>
                </c:pt>
                <c:pt idx="3">
                  <c:v>3.1</c:v>
                </c:pt>
                <c:pt idx="4">
                  <c:v>3.57</c:v>
                </c:pt>
                <c:pt idx="5">
                  <c:v>3.25</c:v>
                </c:pt>
                <c:pt idx="6">
                  <c:v>3.22</c:v>
                </c:pt>
                <c:pt idx="7">
                  <c:v>3.26</c:v>
                </c:pt>
                <c:pt idx="8">
                  <c:v>3.11</c:v>
                </c:pt>
                <c:pt idx="9">
                  <c:v>3.1</c:v>
                </c:pt>
                <c:pt idx="10">
                  <c:v>3.09</c:v>
                </c:pt>
                <c:pt idx="11">
                  <c:v>3.36</c:v>
                </c:pt>
                <c:pt idx="12">
                  <c:v>3.15</c:v>
                </c:pt>
                <c:pt idx="13">
                  <c:v>3.39</c:v>
                </c:pt>
                <c:pt idx="14">
                  <c:v>3.24</c:v>
                </c:pt>
                <c:pt idx="15">
                  <c:v>3.22</c:v>
                </c:pt>
                <c:pt idx="16">
                  <c:v>3.32</c:v>
                </c:pt>
                <c:pt idx="17">
                  <c:v>3.19</c:v>
                </c:pt>
                <c:pt idx="18">
                  <c:v>3.23</c:v>
                </c:pt>
                <c:pt idx="19">
                  <c:v>3.35</c:v>
                </c:pt>
                <c:pt idx="20">
                  <c:v>3.14</c:v>
                </c:pt>
                <c:pt idx="21">
                  <c:v>3.28</c:v>
                </c:pt>
                <c:pt idx="22">
                  <c:v>3.25</c:v>
                </c:pt>
                <c:pt idx="23">
                  <c:v>3.15</c:v>
                </c:pt>
                <c:pt idx="24">
                  <c:v>3.42</c:v>
                </c:pt>
                <c:pt idx="25">
                  <c:v>3.53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Okareka!$C$1</c:f>
              <c:strCache>
                <c:ptCount val="1"/>
                <c:pt idx="0">
                  <c:v>3 Yearly Avg.</c:v>
                </c:pt>
              </c:strCache>
            </c:strRef>
          </c:tx>
          <c:spPr>
            <a:ln w="28575">
              <a:solidFill>
                <a:schemeClr val="tx2">
                  <a:lumMod val="40000"/>
                  <a:lumOff val="60000"/>
                </a:schemeClr>
              </a:solidFill>
              <a:prstDash val="solid"/>
            </a:ln>
          </c:spPr>
          <c:marker>
            <c:symbol val="none"/>
          </c:marker>
          <c:xVal>
            <c:numRef>
              <c:f>Okareka!$A$2:$A$28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</c:numCache>
            </c:numRef>
          </c:xVal>
          <c:yVal>
            <c:numRef>
              <c:f>Okareka!$C$2:$C$28</c:f>
              <c:numCache>
                <c:formatCode>General</c:formatCode>
                <c:ptCount val="27"/>
                <c:pt idx="2" formatCode="0.0">
                  <c:v>3.02</c:v>
                </c:pt>
                <c:pt idx="3" formatCode="0.0">
                  <c:v>3.0533333333333332</c:v>
                </c:pt>
                <c:pt idx="4" formatCode="0.0">
                  <c:v>3.28</c:v>
                </c:pt>
                <c:pt idx="5" formatCode="0.0">
                  <c:v>3.3066666666666666</c:v>
                </c:pt>
                <c:pt idx="6" formatCode="0.0">
                  <c:v>3.3466666666666671</c:v>
                </c:pt>
                <c:pt idx="7" formatCode="0.0">
                  <c:v>3.2433333333333336</c:v>
                </c:pt>
                <c:pt idx="8" formatCode="0.0">
                  <c:v>3.1966666666666668</c:v>
                </c:pt>
                <c:pt idx="9" formatCode="0.0">
                  <c:v>3.1566666666666663</c:v>
                </c:pt>
                <c:pt idx="10" formatCode="0.0">
                  <c:v>3.1</c:v>
                </c:pt>
                <c:pt idx="11" formatCode="0.0">
                  <c:v>3.1833333333333331</c:v>
                </c:pt>
                <c:pt idx="12" formatCode="0.0">
                  <c:v>3.1999999999999997</c:v>
                </c:pt>
                <c:pt idx="13" formatCode="0.0">
                  <c:v>3.3000000000000003</c:v>
                </c:pt>
                <c:pt idx="14" formatCode="0.0">
                  <c:v>3.2600000000000002</c:v>
                </c:pt>
                <c:pt idx="15" formatCode="0.0">
                  <c:v>3.2833333333333337</c:v>
                </c:pt>
                <c:pt idx="16" formatCode="0.0">
                  <c:v>3.2600000000000002</c:v>
                </c:pt>
                <c:pt idx="17" formatCode="0.0">
                  <c:v>3.2433333333333336</c:v>
                </c:pt>
                <c:pt idx="18" formatCode="0.0">
                  <c:v>3.2466666666666666</c:v>
                </c:pt>
                <c:pt idx="19" formatCode="0.0">
                  <c:v>3.2566666666666664</c:v>
                </c:pt>
                <c:pt idx="20" formatCode="0.0">
                  <c:v>3.24</c:v>
                </c:pt>
                <c:pt idx="21" formatCode="0.0">
                  <c:v>3.2566666666666664</c:v>
                </c:pt>
                <c:pt idx="22" formatCode="0.0">
                  <c:v>3.2233333333333332</c:v>
                </c:pt>
                <c:pt idx="23" formatCode="0.0">
                  <c:v>3.2266666666666666</c:v>
                </c:pt>
                <c:pt idx="24" formatCode="0.0">
                  <c:v>3.2733333333333334</c:v>
                </c:pt>
                <c:pt idx="25" formatCode="0.0">
                  <c:v>3.3666666666666667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Okareka!$E$1</c:f>
              <c:strCache>
                <c:ptCount val="1"/>
                <c:pt idx="0">
                  <c:v>RWLP TLI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Okareka!$A$2:$A$28</c:f>
              <c:numCache>
                <c:formatCode>General</c:formatCode>
                <c:ptCount val="27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</c:numCache>
            </c:numRef>
          </c:xVal>
          <c:yVal>
            <c:numRef>
              <c:f>Okareka!$E$2:$E$28</c:f>
              <c:numCache>
                <c:formatCode>General</c:formatCode>
                <c:ptCount val="2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1412352"/>
        <c:axId val="411413888"/>
      </c:scatterChart>
      <c:valAx>
        <c:axId val="411412352"/>
        <c:scaling>
          <c:orientation val="minMax"/>
          <c:max val="2019"/>
          <c:min val="1992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1413888"/>
        <c:crosses val="autoZero"/>
        <c:crossBetween val="midCat"/>
        <c:majorUnit val="1"/>
      </c:valAx>
      <c:valAx>
        <c:axId val="411413888"/>
        <c:scaling>
          <c:orientation val="minMax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NZ"/>
                  <a:t>TLI units</a:t>
                </a:r>
              </a:p>
            </c:rich>
          </c:tx>
          <c:layout>
            <c:manualLayout>
              <c:xMode val="edge"/>
              <c:yMode val="edge"/>
              <c:x val="3.1558185404339252E-2"/>
              <c:y val="0.3819105801429993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1412352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2754808015861921"/>
          <c:y val="0.15075436691103267"/>
          <c:w val="0.78961333975264913"/>
          <c:h val="0.1005023079011675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NZ"/>
              <a:t>Lake Tarawera</a:t>
            </a:r>
          </a:p>
        </c:rich>
      </c:tx>
      <c:layout>
        <c:manualLayout>
          <c:xMode val="edge"/>
          <c:yMode val="edge"/>
          <c:x val="0.41634282096060948"/>
          <c:y val="4.43349867610161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840479124056803"/>
          <c:y val="0.26600985221674878"/>
          <c:w val="0.82490350736364926"/>
          <c:h val="0.4975369458128078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Tarawera!$B$1</c:f>
              <c:strCache>
                <c:ptCount val="1"/>
                <c:pt idx="0">
                  <c:v>TLI Average (±SE)</c:v>
                </c:pt>
              </c:strCache>
            </c:strRef>
          </c:tx>
          <c:spPr>
            <a:ln w="28575">
              <a:solidFill>
                <a:schemeClr val="tx2">
                  <a:lumMod val="40000"/>
                  <a:lumOff val="60000"/>
                </a:schemeClr>
              </a:solidFill>
              <a:prstDash val="sysDot"/>
            </a:ln>
          </c:spPr>
          <c:marker>
            <c:symbol val="diamond"/>
            <c:size val="5"/>
            <c:spPr>
              <a:noFill/>
              <a:ln>
                <a:solidFill>
                  <a:srgbClr val="00008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Tarawera!$D$2:$D$29</c:f>
                <c:numCache>
                  <c:formatCode>General</c:formatCode>
                  <c:ptCount val="28"/>
                  <c:pt idx="0">
                    <c:v>0.1647698221722407</c:v>
                  </c:pt>
                  <c:pt idx="1">
                    <c:v>0.16408299329966941</c:v>
                  </c:pt>
                  <c:pt idx="2">
                    <c:v>0.13363317820581577</c:v>
                  </c:pt>
                  <c:pt idx="3">
                    <c:v>7.076764142270274E-2</c:v>
                  </c:pt>
                  <c:pt idx="4">
                    <c:v>9.2910685684458941E-2</c:v>
                  </c:pt>
                  <c:pt idx="5">
                    <c:v>9.6366129966089953E-2</c:v>
                  </c:pt>
                  <c:pt idx="9">
                    <c:v>0.1378548056700834</c:v>
                  </c:pt>
                  <c:pt idx="11">
                    <c:v>5.898490701492793E-2</c:v>
                  </c:pt>
                  <c:pt idx="12">
                    <c:v>6.4574478777664271E-2</c:v>
                  </c:pt>
                  <c:pt idx="13">
                    <c:v>9.3252962457174182E-2</c:v>
                  </c:pt>
                  <c:pt idx="14">
                    <c:v>5.0109560532787326E-2</c:v>
                  </c:pt>
                  <c:pt idx="15">
                    <c:v>8.0841803163201179E-2</c:v>
                  </c:pt>
                  <c:pt idx="16">
                    <c:v>7.8758608957905873E-2</c:v>
                  </c:pt>
                  <c:pt idx="17">
                    <c:v>7.9294729554947152E-2</c:v>
                  </c:pt>
                  <c:pt idx="18">
                    <c:v>9.8603018793571182E-2</c:v>
                  </c:pt>
                  <c:pt idx="19">
                    <c:v>6.3853312843534571E-2</c:v>
                  </c:pt>
                  <c:pt idx="20">
                    <c:v>5.5327376578141532E-2</c:v>
                  </c:pt>
                  <c:pt idx="21">
                    <c:v>8.3976795020405781E-2</c:v>
                  </c:pt>
                  <c:pt idx="22">
                    <c:v>5.2757697449903884E-2</c:v>
                  </c:pt>
                  <c:pt idx="23">
                    <c:v>5.466022739441094E-2</c:v>
                  </c:pt>
                  <c:pt idx="24">
                    <c:v>0.08</c:v>
                  </c:pt>
                  <c:pt idx="25">
                    <c:v>0.08</c:v>
                  </c:pt>
                  <c:pt idx="26">
                    <c:v>0.06</c:v>
                  </c:pt>
                  <c:pt idx="27">
                    <c:v>0.08</c:v>
                  </c:pt>
                </c:numCache>
              </c:numRef>
            </c:plus>
            <c:minus>
              <c:numRef>
                <c:f>Tarawera!$D$2:$D$29</c:f>
                <c:numCache>
                  <c:formatCode>General</c:formatCode>
                  <c:ptCount val="28"/>
                  <c:pt idx="0">
                    <c:v>0.1647698221722407</c:v>
                  </c:pt>
                  <c:pt idx="1">
                    <c:v>0.16408299329966941</c:v>
                  </c:pt>
                  <c:pt idx="2">
                    <c:v>0.13363317820581577</c:v>
                  </c:pt>
                  <c:pt idx="3">
                    <c:v>7.076764142270274E-2</c:v>
                  </c:pt>
                  <c:pt idx="4">
                    <c:v>9.2910685684458941E-2</c:v>
                  </c:pt>
                  <c:pt idx="5">
                    <c:v>9.6366129966089953E-2</c:v>
                  </c:pt>
                  <c:pt idx="9">
                    <c:v>0.1378548056700834</c:v>
                  </c:pt>
                  <c:pt idx="11">
                    <c:v>5.898490701492793E-2</c:v>
                  </c:pt>
                  <c:pt idx="12">
                    <c:v>6.4574478777664271E-2</c:v>
                  </c:pt>
                  <c:pt idx="13">
                    <c:v>9.3252962457174182E-2</c:v>
                  </c:pt>
                  <c:pt idx="14">
                    <c:v>5.0109560532787326E-2</c:v>
                  </c:pt>
                  <c:pt idx="15">
                    <c:v>8.0841803163201179E-2</c:v>
                  </c:pt>
                  <c:pt idx="16">
                    <c:v>7.8758608957905873E-2</c:v>
                  </c:pt>
                  <c:pt idx="17">
                    <c:v>7.9294729554947152E-2</c:v>
                  </c:pt>
                  <c:pt idx="18">
                    <c:v>9.8603018793571182E-2</c:v>
                  </c:pt>
                  <c:pt idx="19">
                    <c:v>6.3853312843534571E-2</c:v>
                  </c:pt>
                  <c:pt idx="20">
                    <c:v>5.5327376578141532E-2</c:v>
                  </c:pt>
                  <c:pt idx="21">
                    <c:v>8.3976795020405781E-2</c:v>
                  </c:pt>
                  <c:pt idx="22">
                    <c:v>5.2757697449903884E-2</c:v>
                  </c:pt>
                  <c:pt idx="23">
                    <c:v>5.466022739441094E-2</c:v>
                  </c:pt>
                  <c:pt idx="24">
                    <c:v>0.08</c:v>
                  </c:pt>
                  <c:pt idx="25">
                    <c:v>0.08</c:v>
                  </c:pt>
                  <c:pt idx="26">
                    <c:v>0.06</c:v>
                  </c:pt>
                  <c:pt idx="27">
                    <c:v>0.08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Tarawera!$A$2:$A$30</c:f>
              <c:numCache>
                <c:formatCode>General</c:formatCode>
                <c:ptCount val="29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Tarawera!$B$2:$B$30</c:f>
              <c:numCache>
                <c:formatCode>General</c:formatCode>
                <c:ptCount val="29"/>
                <c:pt idx="0">
                  <c:v>2.98</c:v>
                </c:pt>
                <c:pt idx="1">
                  <c:v>2.87</c:v>
                </c:pt>
                <c:pt idx="2">
                  <c:v>2.79</c:v>
                </c:pt>
                <c:pt idx="3">
                  <c:v>2.82</c:v>
                </c:pt>
                <c:pt idx="4">
                  <c:v>2.67</c:v>
                </c:pt>
                <c:pt idx="5">
                  <c:v>2.52</c:v>
                </c:pt>
                <c:pt idx="9">
                  <c:v>2.79</c:v>
                </c:pt>
                <c:pt idx="11">
                  <c:v>2.8</c:v>
                </c:pt>
                <c:pt idx="12">
                  <c:v>2.91</c:v>
                </c:pt>
                <c:pt idx="13">
                  <c:v>2.81</c:v>
                </c:pt>
                <c:pt idx="14">
                  <c:v>2.73</c:v>
                </c:pt>
                <c:pt idx="15">
                  <c:v>2.89</c:v>
                </c:pt>
                <c:pt idx="16">
                  <c:v>2.97</c:v>
                </c:pt>
                <c:pt idx="17">
                  <c:v>2.92</c:v>
                </c:pt>
                <c:pt idx="18">
                  <c:v>3.01</c:v>
                </c:pt>
                <c:pt idx="19">
                  <c:v>2.6</c:v>
                </c:pt>
                <c:pt idx="20">
                  <c:v>2.95</c:v>
                </c:pt>
                <c:pt idx="21">
                  <c:v>2.96</c:v>
                </c:pt>
                <c:pt idx="22">
                  <c:v>2.94</c:v>
                </c:pt>
                <c:pt idx="23">
                  <c:v>2.99</c:v>
                </c:pt>
                <c:pt idx="24">
                  <c:v>3.09</c:v>
                </c:pt>
                <c:pt idx="25">
                  <c:v>3.04</c:v>
                </c:pt>
                <c:pt idx="26">
                  <c:v>3.06</c:v>
                </c:pt>
                <c:pt idx="27">
                  <c:v>3.09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Tarawera!$C$1</c:f>
              <c:strCache>
                <c:ptCount val="1"/>
                <c:pt idx="0">
                  <c:v>3 Yearly Avg.</c:v>
                </c:pt>
              </c:strCache>
            </c:strRef>
          </c:tx>
          <c:spPr>
            <a:ln w="28575">
              <a:solidFill>
                <a:schemeClr val="tx2">
                  <a:lumMod val="40000"/>
                  <a:lumOff val="60000"/>
                </a:schemeClr>
              </a:solidFill>
              <a:prstDash val="solid"/>
            </a:ln>
          </c:spPr>
          <c:marker>
            <c:symbol val="none"/>
          </c:marker>
          <c:xVal>
            <c:numRef>
              <c:f>Tarawera!$A$2:$A$30</c:f>
              <c:numCache>
                <c:formatCode>General</c:formatCode>
                <c:ptCount val="29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Tarawera!$C$2:$C$30</c:f>
              <c:numCache>
                <c:formatCode>General</c:formatCode>
                <c:ptCount val="29"/>
                <c:pt idx="2" formatCode="0.00">
                  <c:v>2.8800000000000003</c:v>
                </c:pt>
                <c:pt idx="3" formatCode="0.00">
                  <c:v>2.8266666666666667</c:v>
                </c:pt>
                <c:pt idx="4" formatCode="0.00">
                  <c:v>2.76</c:v>
                </c:pt>
                <c:pt idx="5" formatCode="0.00">
                  <c:v>2.67</c:v>
                </c:pt>
                <c:pt idx="6" formatCode="0.00">
                  <c:v>2.5949999999999998</c:v>
                </c:pt>
                <c:pt idx="12" formatCode="0.00">
                  <c:v>2.855</c:v>
                </c:pt>
                <c:pt idx="13" formatCode="0.00">
                  <c:v>2.84</c:v>
                </c:pt>
                <c:pt idx="14" formatCode="0.00">
                  <c:v>2.8166666666666669</c:v>
                </c:pt>
                <c:pt idx="15" formatCode="0.00">
                  <c:v>2.81</c:v>
                </c:pt>
                <c:pt idx="16" formatCode="0.00">
                  <c:v>2.8633333333333333</c:v>
                </c:pt>
                <c:pt idx="17" formatCode="0.00">
                  <c:v>2.9266666666666672</c:v>
                </c:pt>
                <c:pt idx="18" formatCode="0.00">
                  <c:v>2.9666666666666668</c:v>
                </c:pt>
                <c:pt idx="19" formatCode="0.00">
                  <c:v>2.8433333333333333</c:v>
                </c:pt>
                <c:pt idx="20" formatCode="0.00">
                  <c:v>2.8533333333333331</c:v>
                </c:pt>
                <c:pt idx="21" formatCode="0.00">
                  <c:v>2.8366666666666673</c:v>
                </c:pt>
                <c:pt idx="22" formatCode="0.00">
                  <c:v>2.9499999999999997</c:v>
                </c:pt>
                <c:pt idx="23" formatCode="0.00">
                  <c:v>2.9633333333333334</c:v>
                </c:pt>
                <c:pt idx="24" formatCode="0.00">
                  <c:v>3.0066666666666664</c:v>
                </c:pt>
                <c:pt idx="25" formatCode="0.00">
                  <c:v>3.0400000000000005</c:v>
                </c:pt>
                <c:pt idx="26" formatCode="0.00">
                  <c:v>3.063333333333333</c:v>
                </c:pt>
                <c:pt idx="27" formatCode="0.00">
                  <c:v>3.063333333333333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Tarawera!$E$1</c:f>
              <c:strCache>
                <c:ptCount val="1"/>
                <c:pt idx="0">
                  <c:v>RWLP TLI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Tarawera!$A$2:$A$30</c:f>
              <c:numCache>
                <c:formatCode>General</c:formatCode>
                <c:ptCount val="29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</c:numCache>
            </c:numRef>
          </c:xVal>
          <c:yVal>
            <c:numRef>
              <c:f>Tarawera!$E$2:$E$30</c:f>
              <c:numCache>
                <c:formatCode>General</c:formatCode>
                <c:ptCount val="29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2.6</c:v>
                </c:pt>
                <c:pt idx="4">
                  <c:v>2.6</c:v>
                </c:pt>
                <c:pt idx="5">
                  <c:v>2.6</c:v>
                </c:pt>
                <c:pt idx="6">
                  <c:v>2.6</c:v>
                </c:pt>
                <c:pt idx="7">
                  <c:v>2.6</c:v>
                </c:pt>
                <c:pt idx="8">
                  <c:v>2.6</c:v>
                </c:pt>
                <c:pt idx="9">
                  <c:v>2.6</c:v>
                </c:pt>
                <c:pt idx="10">
                  <c:v>2.6</c:v>
                </c:pt>
                <c:pt idx="11">
                  <c:v>2.6</c:v>
                </c:pt>
                <c:pt idx="12">
                  <c:v>2.6</c:v>
                </c:pt>
                <c:pt idx="13">
                  <c:v>2.6</c:v>
                </c:pt>
                <c:pt idx="14">
                  <c:v>2.6</c:v>
                </c:pt>
                <c:pt idx="15">
                  <c:v>2.6</c:v>
                </c:pt>
                <c:pt idx="16">
                  <c:v>2.6</c:v>
                </c:pt>
                <c:pt idx="17">
                  <c:v>2.6</c:v>
                </c:pt>
                <c:pt idx="18">
                  <c:v>2.6</c:v>
                </c:pt>
                <c:pt idx="19">
                  <c:v>2.6</c:v>
                </c:pt>
                <c:pt idx="20">
                  <c:v>2.6</c:v>
                </c:pt>
                <c:pt idx="21">
                  <c:v>2.6</c:v>
                </c:pt>
                <c:pt idx="22">
                  <c:v>2.6</c:v>
                </c:pt>
                <c:pt idx="23">
                  <c:v>2.6</c:v>
                </c:pt>
                <c:pt idx="24">
                  <c:v>2.6</c:v>
                </c:pt>
                <c:pt idx="25">
                  <c:v>2.6</c:v>
                </c:pt>
                <c:pt idx="26">
                  <c:v>2.6</c:v>
                </c:pt>
                <c:pt idx="27">
                  <c:v>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59552"/>
        <c:axId val="213560704"/>
      </c:scatterChart>
      <c:valAx>
        <c:axId val="213559552"/>
        <c:scaling>
          <c:orientation val="minMax"/>
          <c:max val="2019"/>
          <c:min val="199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3560704"/>
        <c:crosses val="autoZero"/>
        <c:crossBetween val="midCat"/>
        <c:majorUnit val="1"/>
      </c:valAx>
      <c:valAx>
        <c:axId val="213560704"/>
        <c:scaling>
          <c:orientation val="minMax"/>
          <c:max val="3.5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NZ"/>
                  <a:t>TLI units</a:t>
                </a:r>
              </a:p>
            </c:rich>
          </c:tx>
          <c:layout>
            <c:manualLayout>
              <c:xMode val="edge"/>
              <c:yMode val="edge"/>
              <c:x val="2.1400778210116732E-2"/>
              <c:y val="0.389162764346086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3559552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1595351164761992"/>
          <c:y val="0.15763525154069397"/>
          <c:w val="0.63618738319188706"/>
          <c:h val="7.8817857018973952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8191624653587"/>
          <c:y val="3.346814797880044E-2"/>
          <c:w val="0.78760998122062376"/>
          <c:h val="0.68272378478059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'Annual TLIs'!$B$34</c:f>
              <c:strCache>
                <c:ptCount val="1"/>
                <c:pt idx="0">
                  <c:v>RWLP TLI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</c:spPr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TLIs'!$C$34:$N$34</c:f>
              <c:numCache>
                <c:formatCode>General</c:formatCode>
                <c:ptCount val="12"/>
                <c:pt idx="0">
                  <c:v>5</c:v>
                </c:pt>
                <c:pt idx="1">
                  <c:v>4.2</c:v>
                </c:pt>
                <c:pt idx="2">
                  <c:v>3.9</c:v>
                </c:pt>
                <c:pt idx="3">
                  <c:v>3.9</c:v>
                </c:pt>
                <c:pt idx="4">
                  <c:v>3.1</c:v>
                </c:pt>
                <c:pt idx="5">
                  <c:v>3.5</c:v>
                </c:pt>
                <c:pt idx="6">
                  <c:v>3.6</c:v>
                </c:pt>
                <c:pt idx="7">
                  <c:v>3</c:v>
                </c:pt>
                <c:pt idx="8">
                  <c:v>2.7</c:v>
                </c:pt>
                <c:pt idx="9">
                  <c:v>2.6</c:v>
                </c:pt>
                <c:pt idx="10">
                  <c:v>2.6</c:v>
                </c:pt>
                <c:pt idx="11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'Annual TLIs'!$B$35</c:f>
              <c:strCache>
                <c:ptCount val="1"/>
                <c:pt idx="0">
                  <c:v>2011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TLIs'!$C$35:$N$35</c:f>
              <c:numCache>
                <c:formatCode>0.0</c:formatCode>
                <c:ptCount val="12"/>
                <c:pt idx="0">
                  <c:v>5.23</c:v>
                </c:pt>
                <c:pt idx="1">
                  <c:v>4.3499999999999996</c:v>
                </c:pt>
                <c:pt idx="2">
                  <c:v>4.16</c:v>
                </c:pt>
                <c:pt idx="3">
                  <c:v>4.0999999999999996</c:v>
                </c:pt>
                <c:pt idx="5">
                  <c:v>3.87</c:v>
                </c:pt>
                <c:pt idx="6">
                  <c:v>3.71</c:v>
                </c:pt>
                <c:pt idx="7">
                  <c:v>3.23</c:v>
                </c:pt>
                <c:pt idx="8">
                  <c:v>2.76</c:v>
                </c:pt>
                <c:pt idx="9">
                  <c:v>2.83</c:v>
                </c:pt>
                <c:pt idx="10">
                  <c:v>2.95</c:v>
                </c:pt>
                <c:pt idx="11">
                  <c:v>2.27</c:v>
                </c:pt>
              </c:numCache>
            </c:numRef>
          </c:val>
        </c:ser>
        <c:ser>
          <c:idx val="2"/>
          <c:order val="2"/>
          <c:tx>
            <c:strRef>
              <c:f>'Annual TLIs'!$B$36</c:f>
              <c:strCache>
                <c:ptCount val="1"/>
                <c:pt idx="0">
                  <c:v>2012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TLIs'!$C$36:$N$36</c:f>
              <c:numCache>
                <c:formatCode>0.0</c:formatCode>
                <c:ptCount val="12"/>
                <c:pt idx="0">
                  <c:v>5.46</c:v>
                </c:pt>
                <c:pt idx="1">
                  <c:v>4.08</c:v>
                </c:pt>
                <c:pt idx="2">
                  <c:v>4.16</c:v>
                </c:pt>
                <c:pt idx="3">
                  <c:v>4.0199999999999996</c:v>
                </c:pt>
                <c:pt idx="4">
                  <c:v>3.9</c:v>
                </c:pt>
                <c:pt idx="5">
                  <c:v>3.77</c:v>
                </c:pt>
                <c:pt idx="6">
                  <c:v>3.69</c:v>
                </c:pt>
                <c:pt idx="7">
                  <c:v>3.35</c:v>
                </c:pt>
                <c:pt idx="8">
                  <c:v>2.86</c:v>
                </c:pt>
                <c:pt idx="9">
                  <c:v>2.99</c:v>
                </c:pt>
                <c:pt idx="10">
                  <c:v>2.96</c:v>
                </c:pt>
                <c:pt idx="11">
                  <c:v>2.48</c:v>
                </c:pt>
              </c:numCache>
            </c:numRef>
          </c:val>
        </c:ser>
        <c:ser>
          <c:idx val="3"/>
          <c:order val="3"/>
          <c:tx>
            <c:strRef>
              <c:f>'Annual TLIs'!$B$37</c:f>
              <c:strCache>
                <c:ptCount val="1"/>
                <c:pt idx="0">
                  <c:v>2013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TLIs'!$C$37:$N$37</c:f>
              <c:numCache>
                <c:formatCode>0.0</c:formatCode>
                <c:ptCount val="12"/>
                <c:pt idx="0">
                  <c:v>5.42</c:v>
                </c:pt>
                <c:pt idx="1">
                  <c:v>4.24</c:v>
                </c:pt>
                <c:pt idx="2">
                  <c:v>3.95</c:v>
                </c:pt>
                <c:pt idx="3">
                  <c:v>3.93</c:v>
                </c:pt>
                <c:pt idx="4">
                  <c:v>3.7</c:v>
                </c:pt>
                <c:pt idx="5">
                  <c:v>3.44</c:v>
                </c:pt>
                <c:pt idx="6">
                  <c:v>3.5</c:v>
                </c:pt>
                <c:pt idx="7">
                  <c:v>3.14</c:v>
                </c:pt>
                <c:pt idx="8">
                  <c:v>2.75</c:v>
                </c:pt>
                <c:pt idx="9">
                  <c:v>2.77</c:v>
                </c:pt>
                <c:pt idx="10">
                  <c:v>2.94</c:v>
                </c:pt>
                <c:pt idx="11">
                  <c:v>2.36</c:v>
                </c:pt>
              </c:numCache>
            </c:numRef>
          </c:val>
        </c:ser>
        <c:ser>
          <c:idx val="4"/>
          <c:order val="4"/>
          <c:tx>
            <c:strRef>
              <c:f>'Annual TLIs'!$B$38</c:f>
              <c:strCache>
                <c:ptCount val="1"/>
                <c:pt idx="0">
                  <c:v>2014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TLIs'!$C$38:$N$38</c:f>
              <c:numCache>
                <c:formatCode>0.0</c:formatCode>
                <c:ptCount val="12"/>
                <c:pt idx="0">
                  <c:v>4.49</c:v>
                </c:pt>
                <c:pt idx="1">
                  <c:v>4.1900000000000004</c:v>
                </c:pt>
                <c:pt idx="2">
                  <c:v>3.95</c:v>
                </c:pt>
                <c:pt idx="3">
                  <c:v>3.81</c:v>
                </c:pt>
                <c:pt idx="4">
                  <c:v>3.63</c:v>
                </c:pt>
                <c:pt idx="5">
                  <c:v>3.4</c:v>
                </c:pt>
                <c:pt idx="6">
                  <c:v>3.43</c:v>
                </c:pt>
                <c:pt idx="7">
                  <c:v>3.28</c:v>
                </c:pt>
                <c:pt idx="8">
                  <c:v>2.82</c:v>
                </c:pt>
                <c:pt idx="9">
                  <c:v>2.69</c:v>
                </c:pt>
                <c:pt idx="10">
                  <c:v>2.99</c:v>
                </c:pt>
                <c:pt idx="11">
                  <c:v>2.31</c:v>
                </c:pt>
              </c:numCache>
            </c:numRef>
          </c:val>
        </c:ser>
        <c:ser>
          <c:idx val="5"/>
          <c:order val="5"/>
          <c:tx>
            <c:strRef>
              <c:f>'Annual TLIs'!$B$39</c:f>
              <c:strCache>
                <c:ptCount val="1"/>
                <c:pt idx="0">
                  <c:v>2015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TLIs'!$C$39:$N$39</c:f>
              <c:numCache>
                <c:formatCode>0.0</c:formatCode>
                <c:ptCount val="12"/>
                <c:pt idx="0">
                  <c:v>4.46</c:v>
                </c:pt>
                <c:pt idx="1">
                  <c:v>4.37</c:v>
                </c:pt>
                <c:pt idx="2">
                  <c:v>4.45</c:v>
                </c:pt>
                <c:pt idx="3">
                  <c:v>4.13</c:v>
                </c:pt>
                <c:pt idx="4">
                  <c:v>4</c:v>
                </c:pt>
                <c:pt idx="5">
                  <c:v>3.81</c:v>
                </c:pt>
                <c:pt idx="6">
                  <c:v>3.29</c:v>
                </c:pt>
                <c:pt idx="7">
                  <c:v>3.25</c:v>
                </c:pt>
                <c:pt idx="8">
                  <c:v>2.89</c:v>
                </c:pt>
                <c:pt idx="9">
                  <c:v>2.92</c:v>
                </c:pt>
                <c:pt idx="10">
                  <c:v>3.18</c:v>
                </c:pt>
                <c:pt idx="11">
                  <c:v>2.63</c:v>
                </c:pt>
              </c:numCache>
            </c:numRef>
          </c:val>
        </c:ser>
        <c:ser>
          <c:idx val="6"/>
          <c:order val="6"/>
          <c:tx>
            <c:strRef>
              <c:f>'Annual TLIs'!$B$40</c:f>
              <c:strCache>
                <c:ptCount val="1"/>
                <c:pt idx="0">
                  <c:v>2016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TLIs'!$C$40:$N$40</c:f>
              <c:numCache>
                <c:formatCode>0.0</c:formatCode>
                <c:ptCount val="12"/>
                <c:pt idx="0">
                  <c:v>4.59</c:v>
                </c:pt>
                <c:pt idx="1">
                  <c:v>4.3899999999999997</c:v>
                </c:pt>
                <c:pt idx="2">
                  <c:v>4.55</c:v>
                </c:pt>
                <c:pt idx="3">
                  <c:v>3.99</c:v>
                </c:pt>
                <c:pt idx="4">
                  <c:v>3.65</c:v>
                </c:pt>
                <c:pt idx="5">
                  <c:v>3.75</c:v>
                </c:pt>
                <c:pt idx="6">
                  <c:v>3.44</c:v>
                </c:pt>
                <c:pt idx="7">
                  <c:v>3.15</c:v>
                </c:pt>
                <c:pt idx="8">
                  <c:v>2.94</c:v>
                </c:pt>
                <c:pt idx="9">
                  <c:v>2.83</c:v>
                </c:pt>
                <c:pt idx="10">
                  <c:v>3.04</c:v>
                </c:pt>
                <c:pt idx="11">
                  <c:v>2.41</c:v>
                </c:pt>
              </c:numCache>
            </c:numRef>
          </c:val>
        </c:ser>
        <c:ser>
          <c:idx val="7"/>
          <c:order val="7"/>
          <c:tx>
            <c:strRef>
              <c:f>'Annual TLIs'!$B$41</c:f>
              <c:strCache>
                <c:ptCount val="1"/>
                <c:pt idx="0">
                  <c:v>2017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TLIs'!$C$41:$N$41</c:f>
              <c:numCache>
                <c:formatCode>0.0</c:formatCode>
                <c:ptCount val="12"/>
                <c:pt idx="0">
                  <c:v>4.92</c:v>
                </c:pt>
                <c:pt idx="1">
                  <c:v>4.0599999999999996</c:v>
                </c:pt>
                <c:pt idx="2">
                  <c:v>4.63</c:v>
                </c:pt>
                <c:pt idx="3">
                  <c:v>3.96</c:v>
                </c:pt>
                <c:pt idx="4">
                  <c:v>3.78</c:v>
                </c:pt>
                <c:pt idx="5">
                  <c:v>3.8</c:v>
                </c:pt>
                <c:pt idx="6">
                  <c:v>3.46</c:v>
                </c:pt>
                <c:pt idx="7">
                  <c:v>3.42</c:v>
                </c:pt>
                <c:pt idx="8">
                  <c:v>2.64</c:v>
                </c:pt>
                <c:pt idx="9">
                  <c:v>2.87</c:v>
                </c:pt>
                <c:pt idx="10">
                  <c:v>3.06</c:v>
                </c:pt>
                <c:pt idx="11">
                  <c:v>2.31</c:v>
                </c:pt>
              </c:numCache>
            </c:numRef>
          </c:val>
        </c:ser>
        <c:ser>
          <c:idx val="8"/>
          <c:order val="8"/>
          <c:tx>
            <c:strRef>
              <c:f>'Annual TLIs'!$B$42</c:f>
              <c:strCache>
                <c:ptCount val="1"/>
                <c:pt idx="0">
                  <c:v>2018 TLI</c:v>
                </c:pt>
              </c:strCache>
            </c:strRef>
          </c:tx>
          <c:invertIfNegative val="0"/>
          <c:cat>
            <c:strRef>
              <c:f>'Annual TLIs'!$C$33:$N$33</c:f>
              <c:strCache>
                <c:ptCount val="12"/>
                <c:pt idx="0">
                  <c:v>Okaro</c:v>
                </c:pt>
                <c:pt idx="1">
                  <c:v>Rotorua</c:v>
                </c:pt>
                <c:pt idx="2">
                  <c:v>Rotoehu</c:v>
                </c:pt>
                <c:pt idx="3">
                  <c:v>Rotomahana</c:v>
                </c:pt>
                <c:pt idx="4">
                  <c:v>Rotokakahi</c:v>
                </c:pt>
                <c:pt idx="5">
                  <c:v>Rotoiti</c:v>
                </c:pt>
                <c:pt idx="6">
                  <c:v>Rerewhakaaitu</c:v>
                </c:pt>
                <c:pt idx="7">
                  <c:v>Okareka</c:v>
                </c:pt>
                <c:pt idx="8">
                  <c:v>Tikitapu</c:v>
                </c:pt>
                <c:pt idx="9">
                  <c:v>Okataina</c:v>
                </c:pt>
                <c:pt idx="10">
                  <c:v>Tarawera</c:v>
                </c:pt>
                <c:pt idx="11">
                  <c:v>Rotoma</c:v>
                </c:pt>
              </c:strCache>
            </c:strRef>
          </c:cat>
          <c:val>
            <c:numRef>
              <c:f>'Annual TLIs'!$C$42:$N$42</c:f>
              <c:numCache>
                <c:formatCode>0.0</c:formatCode>
                <c:ptCount val="12"/>
                <c:pt idx="0">
                  <c:v>5.21</c:v>
                </c:pt>
                <c:pt idx="1">
                  <c:v>4.26</c:v>
                </c:pt>
                <c:pt idx="2">
                  <c:v>4.8099999999999996</c:v>
                </c:pt>
                <c:pt idx="3">
                  <c:v>4.2</c:v>
                </c:pt>
                <c:pt idx="5">
                  <c:v>3.88</c:v>
                </c:pt>
                <c:pt idx="6">
                  <c:v>3.96</c:v>
                </c:pt>
                <c:pt idx="7">
                  <c:v>3.53</c:v>
                </c:pt>
                <c:pt idx="8">
                  <c:v>2.94</c:v>
                </c:pt>
                <c:pt idx="9">
                  <c:v>2.98</c:v>
                </c:pt>
                <c:pt idx="10">
                  <c:v>3.09</c:v>
                </c:pt>
                <c:pt idx="11">
                  <c:v>2.48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34272"/>
        <c:axId val="213340160"/>
      </c:barChart>
      <c:catAx>
        <c:axId val="213334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213340160"/>
        <c:crosses val="autoZero"/>
        <c:auto val="1"/>
        <c:lblAlgn val="ctr"/>
        <c:lblOffset val="100"/>
        <c:noMultiLvlLbl val="0"/>
      </c:catAx>
      <c:valAx>
        <c:axId val="213340160"/>
        <c:scaling>
          <c:orientation val="minMax"/>
          <c:min val="2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TLI units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21333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12199698113881"/>
          <c:y val="0.16528903445752779"/>
          <c:w val="0.10739897415568812"/>
          <c:h val="0.65499040105936301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A3100983</value>
    </field>
    <field name="Objective-Title">
      <value order="0">TLI Summary Scholes Sept 18</value>
    </field>
    <field name="Objective-Description">
      <value order="0"/>
    </field>
    <field name="Objective-CreationStamp">
      <value order="0">2019-01-13T21:58:52Z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2019-01-13T22:13:22Z</value>
    </field>
    <field name="Objective-Owner">
      <value order="0">Andy Bruere</value>
    </field>
    <field name="Objective-Path">
      <value order="0">EasyInfo Global Folder:'Virtual Filing Cabinet':Natural Resource Management:Integrated Catchments Programme Management:Rotorua Te Arawa Lakes Programme:Rotorua Te Arawa Lakes Programme Implementation:Rotorua Lakes:02 Lake Okareka:Lake Level Control:. Long term consent application work:. Web site info:. Appendix 5</value>
    </field>
    <field name="Objective-Parent">
      <value order="0">. Appendix 5</value>
    </field>
    <field name="Objective-State">
      <value order="0">Being Drafted</value>
    </field>
    <field name="Objective-VersionId">
      <value order="0">vA4718212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4.04836</value>
    </field>
    <field name="Objective-Classification">
      <value order="0">Corporate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Scholes</dc:creator>
  <cp:lastModifiedBy>Paul Scholes</cp:lastModifiedBy>
  <cp:revision>1</cp:revision>
  <dcterms:created xsi:type="dcterms:W3CDTF">2018-09-13T04:11:00Z</dcterms:created>
  <dcterms:modified xsi:type="dcterms:W3CDTF">2018-09-13T04:12:00Z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A3100983</vt:lpwstr>
  </property>
  <property fmtid="{D5CDD505-2E9C-101B-9397-08002B2CF9AE}" pid="4" name="Objective-Title">
    <vt:lpwstr>TLI Summary Scholes Sept 18</vt:lpwstr>
  </property>
  <property fmtid="{D5CDD505-2E9C-101B-9397-08002B2CF9AE}" pid="5" name="Objective-Description">
    <vt:lpwstr/>
  </property>
  <property fmtid="{D5CDD505-2E9C-101B-9397-08002B2CF9AE}" pid="6" name="Objective-CreationStamp">
    <vt:filetime>2019-01-13T21:58:52Z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2019-01-13T22:13:22Z</vt:filetime>
  </property>
  <property fmtid="{D5CDD505-2E9C-101B-9397-08002B2CF9AE}" pid="11" name="Objective-Owner">
    <vt:lpwstr>Andy Bruere</vt:lpwstr>
  </property>
  <property fmtid="{D5CDD505-2E9C-101B-9397-08002B2CF9AE}" pid="12" name="Objective-Path">
    <vt:lpwstr>EasyInfo Global Folder:'Virtual Filing Cabinet':Natural Resource Management:Integrated Catchments Programme Management:Rotorua Te Arawa Lakes Programme:Rotorua Te Arawa Lakes Programme Implementation:Rotorua Lakes:02 Lake Okareka:Lake Level Control:. Long term consent application work:. Web site info:. Appendix 5</vt:lpwstr>
  </property>
  <property fmtid="{D5CDD505-2E9C-101B-9397-08002B2CF9AE}" pid="13" name="Objective-Parent">
    <vt:lpwstr>. Appendix 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vA4718212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4.04836</vt:lpwstr>
  </property>
  <property fmtid="{D5CDD505-2E9C-101B-9397-08002B2CF9AE}" pid="20" name="Objective-Classification">
    <vt:lpwstr>Corporate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